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56548360"/>
        <w:docPartObj>
          <w:docPartGallery w:val="Cover Pages"/>
          <w:docPartUnique/>
        </w:docPartObj>
      </w:sdtPr>
      <w:sdtEndPr>
        <w:rPr>
          <w:rFonts w:eastAsiaTheme="minorEastAsia"/>
          <w:color w:val="5B9BD5" w:themeColor="accent1"/>
          <w:lang w:val="en-US"/>
        </w:rPr>
      </w:sdtEndPr>
      <w:sdtContent>
        <w:p w:rsidR="00432EE8" w:rsidRDefault="00432EE8" w:rsidP="00432EE8">
          <w:r>
            <w:rPr>
              <w:noProof/>
              <w:lang w:eastAsia="en-GB"/>
            </w:rPr>
            <mc:AlternateContent>
              <mc:Choice Requires="wpg">
                <w:drawing>
                  <wp:anchor distT="0" distB="0" distL="114300" distR="114300" simplePos="0" relativeHeight="251659264" behindDoc="1" locked="0" layoutInCell="1" allowOverlap="1" wp14:anchorId="5664CDA1" wp14:editId="74318382">
                    <wp:simplePos x="0" y="0"/>
                    <wp:positionH relativeFrom="margin">
                      <wp:align>left</wp:align>
                    </wp:positionH>
                    <wp:positionV relativeFrom="margin">
                      <wp:posOffset>902</wp:posOffset>
                    </wp:positionV>
                    <wp:extent cx="6857324" cy="6665495"/>
                    <wp:effectExtent l="0" t="0" r="20320" b="21590"/>
                    <wp:wrapNone/>
                    <wp:docPr id="193" name="Group 193"/>
                    <wp:cNvGraphicFramePr/>
                    <a:graphic xmlns:a="http://schemas.openxmlformats.org/drawingml/2006/main">
                      <a:graphicData uri="http://schemas.microsoft.com/office/word/2010/wordprocessingGroup">
                        <wpg:wgp>
                          <wpg:cNvGrpSpPr/>
                          <wpg:grpSpPr>
                            <a:xfrm>
                              <a:off x="0" y="0"/>
                              <a:ext cx="6857324" cy="6665495"/>
                              <a:chOff x="-52751" y="-196045"/>
                              <a:chExt cx="6858000" cy="5248688"/>
                            </a:xfrm>
                          </wpg:grpSpPr>
                          <wps:wsp>
                            <wps:cNvPr id="195" name="Rectangle 195"/>
                            <wps:cNvSpPr/>
                            <wps:spPr>
                              <a:xfrm>
                                <a:off x="2191130" y="2912445"/>
                                <a:ext cx="2683661" cy="2140198"/>
                              </a:xfrm>
                              <a:prstGeom prst="rect">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32EE8" w:rsidRDefault="00432EE8" w:rsidP="00432EE8">
                                      <w:pPr>
                                        <w:pStyle w:val="NoSpacing"/>
                                        <w:spacing w:before="120"/>
                                        <w:rPr>
                                          <w:color w:val="FFFFFF" w:themeColor="background1"/>
                                        </w:rPr>
                                      </w:pPr>
                                      <w:r>
                                        <w:rPr>
                                          <w:color w:val="FFFFFF" w:themeColor="background1"/>
                                          <w:lang w:val="en-GB"/>
                                        </w:rPr>
                                        <w:t>S Johnson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52751" y="-196045"/>
                                <a:ext cx="6858000" cy="2353428"/>
                              </a:xfrm>
                              <a:prstGeom prst="rect">
                                <a:avLst/>
                              </a:prstGeom>
                              <a:solidFill>
                                <a:schemeClr val="accent1">
                                  <a:lumMod val="60000"/>
                                  <a:lumOff val="40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432EE8" w:rsidRPr="00432EE8" w:rsidRDefault="00432EE8" w:rsidP="00432EE8">
                                  <w:pPr>
                                    <w:pStyle w:val="NoSpacing"/>
                                    <w:jc w:val="center"/>
                                    <w:rPr>
                                      <w:rFonts w:ascii="Century Gothic" w:eastAsiaTheme="majorEastAsia" w:hAnsi="Century Gothic" w:cstheme="majorBidi"/>
                                      <w:caps/>
                                      <w:sz w:val="56"/>
                                      <w:szCs w:val="72"/>
                                    </w:rPr>
                                  </w:pPr>
                                  <w:r w:rsidRPr="00432EE8">
                                    <w:rPr>
                                      <w:rFonts w:ascii="Century Gothic" w:eastAsiaTheme="majorEastAsia" w:hAnsi="Century Gothic" w:cstheme="majorBidi"/>
                                      <w:caps/>
                                      <w:sz w:val="56"/>
                                      <w:szCs w:val="72"/>
                                    </w:rPr>
                                    <w:t>RIDGEWAY PRIMARY ACADEMY CALCULATION POLICY</w:t>
                                  </w:r>
                                </w:p>
                                <w:p w:rsidR="00432EE8" w:rsidRPr="00432EE8" w:rsidRDefault="00432EE8" w:rsidP="00432EE8">
                                  <w:pPr>
                                    <w:pStyle w:val="NoSpacing"/>
                                    <w:jc w:val="center"/>
                                    <w:rPr>
                                      <w:rFonts w:ascii="Century Gothic" w:eastAsiaTheme="majorEastAsia" w:hAnsi="Century Gothic" w:cstheme="majorBidi"/>
                                      <w:caps/>
                                      <w:sz w:val="56"/>
                                      <w:szCs w:val="72"/>
                                    </w:rPr>
                                  </w:pPr>
                                  <w:r w:rsidRPr="00432EE8">
                                    <w:rPr>
                                      <w:rFonts w:ascii="Century Gothic" w:eastAsiaTheme="majorEastAsia" w:hAnsi="Century Gothic" w:cstheme="majorBidi"/>
                                      <w:caps/>
                                      <w:sz w:val="56"/>
                                      <w:szCs w:val="72"/>
                                    </w:rPr>
                                    <w:t>2019-2020</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64CDA1" id="Group 193" o:spid="_x0000_s1026" style="position:absolute;margin-left:0;margin-top:.05pt;width:539.95pt;height:524.85pt;z-index:-251657216;mso-position-horizontal:left;mso-position-horizontal-relative:margin;mso-position-vertical-relative:margin" coordorigin="-527,-1960" coordsize="68580,52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">
                    <v:rect id="Rectangle 195" o:spid="_x0000_s1027" style="position:absolute;left:21911;top:29124;width:26836;height:214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" fillcolor="#5b9bd5 [3204]" strokecolor="black [3213]"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32EE8" w:rsidRDefault="00432EE8" w:rsidP="00432EE8">
                                <w:pPr>
                                  <w:pStyle w:val="NoSpacing"/>
                                  <w:spacing w:before="120"/>
                                  <w:rPr>
                                    <w:color w:val="FFFFFF" w:themeColor="background1"/>
                                  </w:rPr>
                                </w:pPr>
                                <w:r>
                                  <w:rPr>
                                    <w:color w:val="FFFFFF" w:themeColor="background1"/>
                                    <w:lang w:val="en-GB"/>
                                  </w:rPr>
                                  <w:t>S Johnson</w:t>
                                </w:r>
                              </w:p>
                            </w:sdtContent>
                          </w:sdt>
                        </w:txbxContent>
                      </v:textbox>
                    </v:rect>
                    <v:shapetype id="_x0000_t202" coordsize="21600,21600" o:spt="202" path="m,l,21600r21600,l21600,xe">
                      <v:stroke joinstyle="miter"/>
                      <v:path gradientshapeok="t" o:connecttype="rect"/>
                    </v:shapetype>
                    <v:shape id="Text Box 196" o:spid="_x0000_s1028" type="#_x0000_t202" style="position:absolute;left:-527;top:-1960;width:68579;height:23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" fillcolor="#9cc2e5 [1940]" strokecolor="black [3213]" strokeweight=".5pt">
                      <v:textbox inset="36pt,7.2pt,36pt,7.2pt">
                        <w:txbxContent>
                          <w:p w:rsidR="00432EE8" w:rsidRPr="00432EE8" w:rsidRDefault="00432EE8" w:rsidP="00432EE8">
                            <w:pPr>
                              <w:pStyle w:val="NoSpacing"/>
                              <w:jc w:val="center"/>
                              <w:rPr>
                                <w:rFonts w:ascii="Century Gothic" w:eastAsiaTheme="majorEastAsia" w:hAnsi="Century Gothic" w:cstheme="majorBidi"/>
                                <w:caps/>
                                <w:sz w:val="56"/>
                                <w:szCs w:val="72"/>
                              </w:rPr>
                            </w:pPr>
                            <w:r w:rsidRPr="00432EE8">
                              <w:rPr>
                                <w:rFonts w:ascii="Century Gothic" w:eastAsiaTheme="majorEastAsia" w:hAnsi="Century Gothic" w:cstheme="majorBidi"/>
                                <w:caps/>
                                <w:sz w:val="56"/>
                                <w:szCs w:val="72"/>
                              </w:rPr>
                              <w:t>RIDGEWAY PRIMARY ACADEMY CALCULATION POLICY</w:t>
                            </w:r>
                          </w:p>
                          <w:p w:rsidR="00432EE8" w:rsidRPr="00432EE8" w:rsidRDefault="00432EE8" w:rsidP="00432EE8">
                            <w:pPr>
                              <w:pStyle w:val="NoSpacing"/>
                              <w:jc w:val="center"/>
                              <w:rPr>
                                <w:rFonts w:ascii="Century Gothic" w:eastAsiaTheme="majorEastAsia" w:hAnsi="Century Gothic" w:cstheme="majorBidi"/>
                                <w:caps/>
                                <w:sz w:val="56"/>
                                <w:szCs w:val="72"/>
                              </w:rPr>
                            </w:pPr>
                            <w:r w:rsidRPr="00432EE8">
                              <w:rPr>
                                <w:rFonts w:ascii="Century Gothic" w:eastAsiaTheme="majorEastAsia" w:hAnsi="Century Gothic" w:cstheme="majorBidi"/>
                                <w:caps/>
                                <w:sz w:val="56"/>
                                <w:szCs w:val="72"/>
                              </w:rPr>
                              <w:t>2019-2020</w:t>
                            </w:r>
                          </w:p>
                        </w:txbxContent>
                      </v:textbox>
                    </v:shape>
                    <w10:wrap anchorx="margin" anchory="margin"/>
                  </v:group>
                </w:pict>
              </mc:Fallback>
            </mc:AlternateContent>
          </w:r>
          <w:r>
            <w:rPr>
              <w:noProof/>
              <w:lang w:eastAsia="en-GB"/>
            </w:rPr>
            <w:t xml:space="preserve"> </w:t>
          </w:r>
        </w:p>
        <w:p w:rsidR="00432EE8" w:rsidRDefault="00061CF9" w:rsidP="00432EE8">
          <w:pPr>
            <w:rPr>
              <w:rFonts w:eastAsiaTheme="minorEastAsia"/>
              <w:color w:val="5B9BD5" w:themeColor="accent1"/>
              <w:lang w:val="en-US"/>
            </w:rPr>
          </w:pPr>
          <w:r w:rsidRPr="00061CF9">
            <w:rPr>
              <w:rFonts w:eastAsiaTheme="minorEastAsia"/>
              <w:noProof/>
              <w:color w:val="5B9BD5" w:themeColor="accent1"/>
              <w:lang w:eastAsia="en-GB"/>
            </w:rPr>
            <mc:AlternateContent>
              <mc:Choice Requires="wps">
                <w:drawing>
                  <wp:anchor distT="45720" distB="45720" distL="114300" distR="114300" simplePos="0" relativeHeight="251666432" behindDoc="0" locked="0" layoutInCell="1" allowOverlap="1">
                    <wp:simplePos x="0" y="0"/>
                    <wp:positionH relativeFrom="margin">
                      <wp:posOffset>-154618</wp:posOffset>
                    </wp:positionH>
                    <wp:positionV relativeFrom="paragraph">
                      <wp:posOffset>9346641</wp:posOffset>
                    </wp:positionV>
                    <wp:extent cx="1790700" cy="3048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04800"/>
                            </a:xfrm>
                            <a:prstGeom prst="rect">
                              <a:avLst/>
                            </a:prstGeom>
                            <a:solidFill>
                              <a:schemeClr val="accent1">
                                <a:lumMod val="60000"/>
                                <a:lumOff val="40000"/>
                              </a:schemeClr>
                            </a:solidFill>
                            <a:ln w="9525">
                              <a:solidFill>
                                <a:srgbClr val="000000"/>
                              </a:solidFill>
                              <a:miter lim="800000"/>
                              <a:headEnd/>
                              <a:tailEnd/>
                            </a:ln>
                          </wps:spPr>
                          <wps:txbx>
                            <w:txbxContent>
                              <w:p w:rsidR="00061CF9" w:rsidRPr="00061CF9" w:rsidRDefault="00061CF9">
                                <w:pPr>
                                  <w:rPr>
                                    <w:rFonts w:ascii="Candara" w:hAnsi="Candara"/>
                                    <w:sz w:val="24"/>
                                  </w:rPr>
                                </w:pPr>
                                <w:r w:rsidRPr="00061CF9">
                                  <w:rPr>
                                    <w:rFonts w:ascii="Candara" w:hAnsi="Candara"/>
                                    <w:sz w:val="24"/>
                                  </w:rPr>
                                  <w:t>Produced by S Johnson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2.15pt;margin-top:735.95pt;width:141pt;height:2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" fillcolor="#9cc2e5 [1940]">
                    <v:textbox>
                      <w:txbxContent>
                        <w:p w:rsidR="00061CF9" w:rsidRPr="00061CF9" w:rsidRDefault="00061CF9">
                          <w:pPr>
                            <w:rPr>
                              <w:rFonts w:ascii="Candara" w:hAnsi="Candara"/>
                              <w:sz w:val="24"/>
                            </w:rPr>
                          </w:pPr>
                          <w:r w:rsidRPr="00061CF9">
                            <w:rPr>
                              <w:rFonts w:ascii="Candara" w:hAnsi="Candara"/>
                              <w:sz w:val="24"/>
                            </w:rPr>
                            <w:t>Produced by S Johnson</w:t>
                          </w:r>
                        </w:p>
                      </w:txbxContent>
                    </v:textbox>
                    <w10:wrap type="square" anchorx="margin"/>
                  </v:shape>
                </w:pict>
              </mc:Fallback>
            </mc:AlternateContent>
          </w:r>
          <w:r w:rsidR="00432EE8">
            <w:rPr>
              <w:noProof/>
              <w:lang w:eastAsia="en-GB"/>
            </w:rPr>
            <w:drawing>
              <wp:anchor distT="0" distB="0" distL="114300" distR="114300" simplePos="0" relativeHeight="251660288" behindDoc="1" locked="0" layoutInCell="1" allowOverlap="1" wp14:anchorId="03E387C9" wp14:editId="4ADCCDC3">
                <wp:simplePos x="0" y="0"/>
                <wp:positionH relativeFrom="column">
                  <wp:posOffset>2522721</wp:posOffset>
                </wp:positionH>
                <wp:positionV relativeFrom="paragraph">
                  <wp:posOffset>3955014</wp:posOffset>
                </wp:positionV>
                <wp:extent cx="2113280" cy="2113280"/>
                <wp:effectExtent l="38100" t="38100" r="39370" b="39370"/>
                <wp:wrapTight wrapText="bothSides">
                  <wp:wrapPolygon edited="0">
                    <wp:start x="-389" y="-389"/>
                    <wp:lineTo x="-389" y="21808"/>
                    <wp:lineTo x="21808" y="21808"/>
                    <wp:lineTo x="21808" y="-389"/>
                    <wp:lineTo x="-389" y="-389"/>
                  </wp:wrapPolygon>
                </wp:wrapTight>
                <wp:docPr id="1" name="Picture 1" descr="Image result for ridgeway primary academy market harbor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dgeway primary academy market harboroug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432EE8">
            <w:rPr>
              <w:rFonts w:eastAsiaTheme="minorEastAsia"/>
              <w:color w:val="5B9BD5" w:themeColor="accent1"/>
              <w:lang w:val="en-US"/>
            </w:rPr>
            <w:br w:type="page"/>
          </w:r>
        </w:p>
      </w:sdtContent>
    </w:sdt>
    <w:p w:rsidR="00A70B40" w:rsidRDefault="003642E4">
      <w:r w:rsidRPr="002E6C83">
        <w:rPr>
          <w:rFonts w:eastAsiaTheme="minorEastAsia"/>
          <w:noProof/>
          <w:color w:val="5B9BD5" w:themeColor="accent1"/>
          <w:lang w:eastAsia="en-GB"/>
        </w:rPr>
        <w:lastRenderedPageBreak/>
        <mc:AlternateContent>
          <mc:Choice Requires="wps">
            <w:drawing>
              <wp:anchor distT="45720" distB="45720" distL="114300" distR="114300" simplePos="0" relativeHeight="251662336" behindDoc="0" locked="0" layoutInCell="1" allowOverlap="1" wp14:anchorId="0F02681D" wp14:editId="6A60E5B1">
                <wp:simplePos x="0" y="0"/>
                <wp:positionH relativeFrom="page">
                  <wp:posOffset>180975</wp:posOffset>
                </wp:positionH>
                <wp:positionV relativeFrom="paragraph">
                  <wp:posOffset>182245</wp:posOffset>
                </wp:positionV>
                <wp:extent cx="7065645" cy="7553325"/>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5645" cy="7553325"/>
                        </a:xfrm>
                        <a:prstGeom prst="rect">
                          <a:avLst/>
                        </a:prstGeom>
                        <a:solidFill>
                          <a:srgbClr val="FFFFFF"/>
                        </a:solidFill>
                        <a:ln w="9525">
                          <a:solidFill>
                            <a:srgbClr val="000000"/>
                          </a:solidFill>
                          <a:miter lim="800000"/>
                          <a:headEnd/>
                          <a:tailEnd/>
                        </a:ln>
                      </wps:spPr>
                      <wps:txbx>
                        <w:txbxContent>
                          <w:p w:rsidR="002E6C83" w:rsidRPr="00A70B40" w:rsidRDefault="002E6C83">
                            <w:pPr>
                              <w:rPr>
                                <w:rFonts w:ascii="Candara" w:hAnsi="Candara"/>
                                <w:sz w:val="24"/>
                              </w:rPr>
                            </w:pPr>
                            <w:r w:rsidRPr="00A70B40">
                              <w:rPr>
                                <w:rFonts w:ascii="Candara" w:hAnsi="Candara"/>
                                <w:sz w:val="24"/>
                              </w:rPr>
                              <w:t>Our calculation policy is based on the calculation policy pr</w:t>
                            </w:r>
                            <w:r w:rsidR="00A70B40">
                              <w:rPr>
                                <w:rFonts w:ascii="Candara" w:hAnsi="Candara"/>
                                <w:sz w:val="24"/>
                              </w:rPr>
                              <w:t xml:space="preserve">oduced by White Rose Maths Hub and focuses on the CPA approach to teaching maths, ensuring that children develop deep conceptual understanding, </w:t>
                            </w:r>
                            <w:r w:rsidR="00A70B40" w:rsidRPr="00A70B40">
                              <w:rPr>
                                <w:rFonts w:ascii="Candara" w:hAnsi="Candara"/>
                                <w:sz w:val="24"/>
                              </w:rPr>
                              <w:t xml:space="preserve">alongside procedural fluency. </w:t>
                            </w:r>
                          </w:p>
                          <w:p w:rsidR="00A70B40" w:rsidRPr="00A70B40" w:rsidRDefault="00A70B40" w:rsidP="00A70B40">
                            <w:pPr>
                              <w:shd w:val="clear" w:color="auto" w:fill="FFFFFF"/>
                              <w:spacing w:after="106" w:line="240" w:lineRule="auto"/>
                              <w:outlineLvl w:val="0"/>
                              <w:rPr>
                                <w:rFonts w:ascii="Candara" w:eastAsia="Times New Roman" w:hAnsi="Candara" w:cs="Arial"/>
                                <w:b/>
                                <w:color w:val="303030"/>
                                <w:kern w:val="36"/>
                                <w:sz w:val="24"/>
                                <w:szCs w:val="24"/>
                                <w:u w:val="single"/>
                                <w:lang w:eastAsia="en-GB"/>
                              </w:rPr>
                            </w:pPr>
                            <w:r w:rsidRPr="00A70B40">
                              <w:rPr>
                                <w:rFonts w:ascii="Candara" w:eastAsia="Times New Roman" w:hAnsi="Candara" w:cs="Arial"/>
                                <w:b/>
                                <w:color w:val="303030"/>
                                <w:kern w:val="36"/>
                                <w:sz w:val="24"/>
                                <w:szCs w:val="24"/>
                                <w:u w:val="single"/>
                                <w:lang w:eastAsia="en-GB"/>
                              </w:rPr>
                              <w:t xml:space="preserve">The following description of the CPA Approach is taken from the Maths No Problem website. </w:t>
                            </w:r>
                          </w:p>
                          <w:p w:rsidR="00A70B40" w:rsidRDefault="00A70B40" w:rsidP="00A70B40">
                            <w:pPr>
                              <w:shd w:val="clear" w:color="auto" w:fill="FFFFFF"/>
                              <w:spacing w:after="106" w:line="240" w:lineRule="auto"/>
                              <w:outlineLvl w:val="0"/>
                              <w:rPr>
                                <w:rFonts w:ascii="Candara" w:eastAsia="Times New Roman" w:hAnsi="Candara" w:cs="Arial"/>
                                <w:color w:val="303030"/>
                                <w:kern w:val="36"/>
                                <w:sz w:val="24"/>
                                <w:szCs w:val="24"/>
                                <w:lang w:eastAsia="en-GB"/>
                              </w:rPr>
                            </w:pPr>
                            <w:hyperlink r:id="rId6" w:history="1">
                              <w:r>
                                <w:rPr>
                                  <w:rStyle w:val="Hyperlink"/>
                                </w:rPr>
                                <w:t>https://mathsnoproblem.com/en/mastery/concrete-pictorial-abstract/</w:t>
                              </w:r>
                            </w:hyperlink>
                          </w:p>
                          <w:p w:rsidR="00A70B40" w:rsidRPr="00A70B40" w:rsidRDefault="00A70B40" w:rsidP="00A70B40">
                            <w:pPr>
                              <w:shd w:val="clear" w:color="auto" w:fill="FFFFFF"/>
                              <w:spacing w:after="106" w:line="240" w:lineRule="auto"/>
                              <w:outlineLvl w:val="0"/>
                              <w:rPr>
                                <w:rFonts w:ascii="Candara" w:eastAsia="Times New Roman" w:hAnsi="Candara" w:cs="Arial"/>
                                <w:color w:val="303030"/>
                                <w:kern w:val="36"/>
                                <w:sz w:val="24"/>
                                <w:szCs w:val="24"/>
                                <w:lang w:eastAsia="en-GB"/>
                              </w:rPr>
                            </w:pPr>
                            <w:r w:rsidRPr="00A70B40">
                              <w:rPr>
                                <w:rFonts w:ascii="Candara" w:eastAsia="Times New Roman" w:hAnsi="Candara" w:cs="Arial"/>
                                <w:color w:val="303030"/>
                                <w:sz w:val="24"/>
                                <w:szCs w:val="24"/>
                                <w:lang w:eastAsia="en-GB"/>
                              </w:rPr>
                              <w:t>Concrete, Pictorial, Abstract (CPA) is a highly effective approach to teaching that develops a deep and sustainable understanding of maths in pupils. Often referred to as the concrete, representational, abstract framework, CPA was developed by American psychologist Jerome Bruner. It is an essential technique within the Singapore method of teaching maths for mastery.</w:t>
                            </w:r>
                            <w:r w:rsidR="008E5305" w:rsidRPr="008E5305">
                              <w:rPr>
                                <w:rFonts w:ascii="Arial" w:hAnsi="Arial" w:cs="Arial"/>
                                <w:color w:val="303030"/>
                                <w:shd w:val="clear" w:color="auto" w:fill="FFFFFF"/>
                              </w:rPr>
                              <w:t xml:space="preserve"> </w:t>
                            </w:r>
                            <w:r w:rsidR="008E5305" w:rsidRPr="008E5305">
                              <w:rPr>
                                <w:rFonts w:ascii="Candara" w:hAnsi="Candara" w:cs="Arial"/>
                                <w:color w:val="303030"/>
                                <w:sz w:val="24"/>
                                <w:shd w:val="clear" w:color="auto" w:fill="FFFFFF"/>
                              </w:rPr>
                              <w:t>Although we’ve presented CPA as three distinct stages, a skilled teacher will go back and forth between each stage to reinforce concepts.</w:t>
                            </w:r>
                          </w:p>
                          <w:p w:rsidR="00A70B40" w:rsidRPr="00A70B40" w:rsidRDefault="00A70B40" w:rsidP="00A70B40">
                            <w:pPr>
                              <w:pStyle w:val="Heading2"/>
                              <w:shd w:val="clear" w:color="auto" w:fill="FFFFFF"/>
                              <w:spacing w:before="450" w:beforeAutospacing="0" w:after="300" w:afterAutospacing="0"/>
                              <w:rPr>
                                <w:rFonts w:ascii="Candara" w:hAnsi="Candara" w:cs="Arial"/>
                                <w:b w:val="0"/>
                                <w:bCs w:val="0"/>
                                <w:color w:val="303030"/>
                                <w:sz w:val="24"/>
                                <w:szCs w:val="24"/>
                              </w:rPr>
                            </w:pPr>
                            <w:r w:rsidRPr="00A70B40">
                              <w:rPr>
                                <w:rFonts w:ascii="Candara" w:hAnsi="Candara" w:cs="Arial"/>
                                <w:bCs w:val="0"/>
                                <w:color w:val="303030"/>
                                <w:sz w:val="24"/>
                                <w:szCs w:val="24"/>
                                <w:u w:val="single"/>
                              </w:rPr>
                              <w:t xml:space="preserve">Background to the CPA </w:t>
                            </w:r>
                            <w:proofErr w:type="gramStart"/>
                            <w:r w:rsidRPr="00A70B40">
                              <w:rPr>
                                <w:rFonts w:ascii="Candara" w:hAnsi="Candara" w:cs="Arial"/>
                                <w:bCs w:val="0"/>
                                <w:color w:val="303030"/>
                                <w:sz w:val="24"/>
                                <w:szCs w:val="24"/>
                                <w:u w:val="single"/>
                              </w:rPr>
                              <w:t>framework</w:t>
                            </w:r>
                            <w:r>
                              <w:rPr>
                                <w:rFonts w:ascii="Candara" w:hAnsi="Candara" w:cs="Arial"/>
                                <w:bCs w:val="0"/>
                                <w:color w:val="303030"/>
                                <w:sz w:val="24"/>
                                <w:szCs w:val="24"/>
                                <w:u w:val="single"/>
                              </w:rPr>
                              <w:t xml:space="preserve"> :</w:t>
                            </w:r>
                            <w:proofErr w:type="gramEnd"/>
                            <w:r>
                              <w:rPr>
                                <w:rFonts w:ascii="Candara" w:hAnsi="Candara" w:cs="Arial"/>
                                <w:bCs w:val="0"/>
                                <w:color w:val="303030"/>
                                <w:sz w:val="24"/>
                                <w:szCs w:val="24"/>
                                <w:u w:val="single"/>
                              </w:rPr>
                              <w:t xml:space="preserve"> </w:t>
                            </w:r>
                            <w:r w:rsidRPr="00A70B40">
                              <w:rPr>
                                <w:rFonts w:ascii="Candara" w:hAnsi="Candara" w:cs="Arial"/>
                                <w:b w:val="0"/>
                                <w:color w:val="303030"/>
                                <w:sz w:val="24"/>
                                <w:szCs w:val="24"/>
                              </w:rPr>
                              <w:t>Children (and adults!) can find maths difficult because it is abstract. The CPA approach builds on children’s existing knowledge by introducing abstract concepts in a concrete and tangible way. It involves moving from concrete materials, to pictorial representations, to abstract symbols and problems. The CPA framework is so established in Singapore maths teaching that the Ministry of Education will not approve any teaching materials that do not use the approach.</w:t>
                            </w:r>
                          </w:p>
                          <w:p w:rsidR="00A70B40" w:rsidRDefault="00A70B40" w:rsidP="00A70B40">
                            <w:pPr>
                              <w:pStyle w:val="Heading3"/>
                              <w:shd w:val="clear" w:color="auto" w:fill="FFFFFF"/>
                              <w:spacing w:before="300" w:after="300"/>
                              <w:rPr>
                                <w:rFonts w:ascii="Arial" w:hAnsi="Arial" w:cs="Arial"/>
                                <w:color w:val="303030"/>
                              </w:rPr>
                            </w:pPr>
                            <w:r w:rsidRPr="00A70B40">
                              <w:rPr>
                                <w:rFonts w:ascii="Candara" w:hAnsi="Candara" w:cs="Arial"/>
                                <w:b/>
                                <w:color w:val="303030"/>
                                <w:u w:val="single"/>
                              </w:rPr>
                              <w:t>Concrete step of CPA</w:t>
                            </w:r>
                            <w:r>
                              <w:rPr>
                                <w:rFonts w:ascii="Candara" w:hAnsi="Candara" w:cs="Arial"/>
                                <w:b/>
                                <w:color w:val="303030"/>
                                <w:u w:val="single"/>
                              </w:rPr>
                              <w:t xml:space="preserve">: </w:t>
                            </w:r>
                            <w:r w:rsidRPr="00A70B40">
                              <w:rPr>
                                <w:rFonts w:ascii="Candara" w:hAnsi="Candara" w:cs="Arial"/>
                                <w:color w:val="303030"/>
                              </w:rPr>
                              <w:t>Concrete is the “doing” stage. During this stage, students use concrete objects to model problems. Unlike traditional maths teaching methods where teachers demonstrate how to solve a problem, the CPA approach brings concepts to life by allowing children to experience and handle physical (concrete) objects. With the CPA framework, every abstract concept is first introduced using physical, interactive concrete materials.</w:t>
                            </w:r>
                          </w:p>
                          <w:p w:rsidR="00A70B40" w:rsidRPr="00A70B40" w:rsidRDefault="00A70B40" w:rsidP="00A70B40">
                            <w:pPr>
                              <w:pStyle w:val="Heading3"/>
                              <w:shd w:val="clear" w:color="auto" w:fill="FFFFFF"/>
                              <w:spacing w:before="300" w:after="300"/>
                              <w:rPr>
                                <w:rFonts w:ascii="Candara" w:hAnsi="Candara" w:cs="Arial"/>
                                <w:color w:val="303030"/>
                              </w:rPr>
                            </w:pPr>
                            <w:r w:rsidRPr="00A70B40">
                              <w:rPr>
                                <w:rFonts w:ascii="Candara" w:hAnsi="Candara" w:cs="Arial"/>
                                <w:b/>
                                <w:color w:val="303030"/>
                                <w:u w:val="single"/>
                              </w:rPr>
                              <w:t>Pictorial step of CPA</w:t>
                            </w:r>
                            <w:r w:rsidRPr="00A70B40">
                              <w:rPr>
                                <w:rFonts w:ascii="Candara" w:hAnsi="Candara" w:cs="Arial"/>
                                <w:b/>
                                <w:color w:val="303030"/>
                                <w:u w:val="single"/>
                              </w:rPr>
                              <w:t>:</w:t>
                            </w:r>
                            <w:r>
                              <w:rPr>
                                <w:rFonts w:ascii="Candara" w:hAnsi="Candara" w:cs="Arial"/>
                                <w:color w:val="303030"/>
                              </w:rPr>
                              <w:t xml:space="preserve"> </w:t>
                            </w:r>
                            <w:r w:rsidRPr="00A70B40">
                              <w:rPr>
                                <w:rFonts w:ascii="Candara" w:hAnsi="Candara" w:cs="Arial"/>
                                <w:color w:val="303030"/>
                              </w:rPr>
                              <w:t>Pictorial is the “seeing” stage. Here, visual representations of concrete objects are used to model problems. This stage encourages children to make a mental connection between the physical object they just handled and the abstract pictures, diagrams or models that represent the objects from the problem.</w:t>
                            </w:r>
                            <w:r>
                              <w:rPr>
                                <w:rFonts w:ascii="Candara" w:hAnsi="Candara" w:cs="Arial"/>
                                <w:color w:val="303030"/>
                              </w:rPr>
                              <w:t xml:space="preserve"> </w:t>
                            </w:r>
                            <w:r w:rsidRPr="00A70B40">
                              <w:rPr>
                                <w:rFonts w:ascii="Candara" w:hAnsi="Candara" w:cs="Arial"/>
                                <w:color w:val="303030"/>
                              </w:rPr>
                              <w:t>Building or drawing a model makes it easier for children to grasp difficult abstract concepts (for example, fractions). Simply put, it helps students visualise abstract problems and make them more accessible.</w:t>
                            </w:r>
                          </w:p>
                          <w:p w:rsidR="00A70B40" w:rsidRDefault="00A70B40" w:rsidP="00A70B40">
                            <w:pPr>
                              <w:pStyle w:val="Heading3"/>
                              <w:shd w:val="clear" w:color="auto" w:fill="FFFFFF"/>
                              <w:spacing w:before="300" w:after="300"/>
                              <w:rPr>
                                <w:rFonts w:ascii="Arial" w:hAnsi="Arial" w:cs="Arial"/>
                                <w:color w:val="303030"/>
                              </w:rPr>
                            </w:pPr>
                            <w:r w:rsidRPr="00A70B40">
                              <w:rPr>
                                <w:rFonts w:ascii="Candara" w:hAnsi="Candara" w:cs="Arial"/>
                                <w:b/>
                                <w:color w:val="303030"/>
                                <w:u w:val="single"/>
                              </w:rPr>
                              <w:t>Abstract step of CPA</w:t>
                            </w:r>
                            <w:r w:rsidRPr="00A70B40">
                              <w:rPr>
                                <w:rFonts w:ascii="Candara" w:hAnsi="Candara" w:cs="Arial"/>
                                <w:b/>
                                <w:color w:val="303030"/>
                                <w:u w:val="single"/>
                              </w:rPr>
                              <w:t>:</w:t>
                            </w:r>
                            <w:r>
                              <w:rPr>
                                <w:rFonts w:ascii="Candara" w:hAnsi="Candara" w:cs="Arial"/>
                                <w:color w:val="303030"/>
                              </w:rPr>
                              <w:t xml:space="preserve"> </w:t>
                            </w:r>
                            <w:r w:rsidRPr="00A70B40">
                              <w:rPr>
                                <w:rFonts w:ascii="Candara" w:hAnsi="Candara" w:cs="Arial"/>
                                <w:color w:val="303030"/>
                              </w:rPr>
                              <w:t>Abstract is the “symbolic” stage, where children use abstract symbols to model problems. Students will not progress to this stage until they have demonstrated that they have a solid understanding of the concrete and pictorial stages of the problem. The abstract stage involves the teacher introducing</w:t>
                            </w:r>
                            <w:r>
                              <w:rPr>
                                <w:rFonts w:ascii="Arial" w:hAnsi="Arial" w:cs="Arial"/>
                                <w:color w:val="303030"/>
                              </w:rPr>
                              <w:t xml:space="preserve"> </w:t>
                            </w:r>
                            <w:r w:rsidRPr="00A70B40">
                              <w:rPr>
                                <w:rFonts w:ascii="Candara" w:hAnsi="Candara" w:cs="Arial"/>
                                <w:color w:val="303030"/>
                              </w:rPr>
                              <w:t>abstract concepts (for example, mathematical symbols). Children are introduced to the concept at a symbolic level, using only numbers, notation, and mathematical symbols (for example, +, –, x, /) to indicate addition, multiplication or division.</w:t>
                            </w:r>
                          </w:p>
                          <w:p w:rsidR="002E6C83" w:rsidRDefault="002E6C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2681D" id="_x0000_s1030" type="#_x0000_t202" style="position:absolute;margin-left:14.25pt;margin-top:14.35pt;width:556.35pt;height:594.7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">
                <v:textbox>
                  <w:txbxContent>
                    <w:p w:rsidR="002E6C83" w:rsidRPr="00A70B40" w:rsidRDefault="002E6C83">
                      <w:pPr>
                        <w:rPr>
                          <w:rFonts w:ascii="Candara" w:hAnsi="Candara"/>
                          <w:sz w:val="24"/>
                        </w:rPr>
                      </w:pPr>
                      <w:r w:rsidRPr="00A70B40">
                        <w:rPr>
                          <w:rFonts w:ascii="Candara" w:hAnsi="Candara"/>
                          <w:sz w:val="24"/>
                        </w:rPr>
                        <w:t>Our calculation policy is based on the calculation policy pr</w:t>
                      </w:r>
                      <w:r w:rsidR="00A70B40">
                        <w:rPr>
                          <w:rFonts w:ascii="Candara" w:hAnsi="Candara"/>
                          <w:sz w:val="24"/>
                        </w:rPr>
                        <w:t xml:space="preserve">oduced by White Rose Maths Hub and focuses on the CPA approach to teaching maths, ensuring that children develop deep conceptual understanding, </w:t>
                      </w:r>
                      <w:r w:rsidR="00A70B40" w:rsidRPr="00A70B40">
                        <w:rPr>
                          <w:rFonts w:ascii="Candara" w:hAnsi="Candara"/>
                          <w:sz w:val="24"/>
                        </w:rPr>
                        <w:t xml:space="preserve">alongside procedural fluency. </w:t>
                      </w:r>
                    </w:p>
                    <w:p w:rsidR="00A70B40" w:rsidRPr="00A70B40" w:rsidRDefault="00A70B40" w:rsidP="00A70B40">
                      <w:pPr>
                        <w:shd w:val="clear" w:color="auto" w:fill="FFFFFF"/>
                        <w:spacing w:after="106" w:line="240" w:lineRule="auto"/>
                        <w:outlineLvl w:val="0"/>
                        <w:rPr>
                          <w:rFonts w:ascii="Candara" w:eastAsia="Times New Roman" w:hAnsi="Candara" w:cs="Arial"/>
                          <w:b/>
                          <w:color w:val="303030"/>
                          <w:kern w:val="36"/>
                          <w:sz w:val="24"/>
                          <w:szCs w:val="24"/>
                          <w:u w:val="single"/>
                          <w:lang w:eastAsia="en-GB"/>
                        </w:rPr>
                      </w:pPr>
                      <w:r w:rsidRPr="00A70B40">
                        <w:rPr>
                          <w:rFonts w:ascii="Candara" w:eastAsia="Times New Roman" w:hAnsi="Candara" w:cs="Arial"/>
                          <w:b/>
                          <w:color w:val="303030"/>
                          <w:kern w:val="36"/>
                          <w:sz w:val="24"/>
                          <w:szCs w:val="24"/>
                          <w:u w:val="single"/>
                          <w:lang w:eastAsia="en-GB"/>
                        </w:rPr>
                        <w:t xml:space="preserve">The following description of the CPA Approach is taken from the Maths No Problem website. </w:t>
                      </w:r>
                    </w:p>
                    <w:p w:rsidR="00A70B40" w:rsidRDefault="00A70B40" w:rsidP="00A70B40">
                      <w:pPr>
                        <w:shd w:val="clear" w:color="auto" w:fill="FFFFFF"/>
                        <w:spacing w:after="106" w:line="240" w:lineRule="auto"/>
                        <w:outlineLvl w:val="0"/>
                        <w:rPr>
                          <w:rFonts w:ascii="Candara" w:eastAsia="Times New Roman" w:hAnsi="Candara" w:cs="Arial"/>
                          <w:color w:val="303030"/>
                          <w:kern w:val="36"/>
                          <w:sz w:val="24"/>
                          <w:szCs w:val="24"/>
                          <w:lang w:eastAsia="en-GB"/>
                        </w:rPr>
                      </w:pPr>
                      <w:hyperlink r:id="rId7" w:history="1">
                        <w:r>
                          <w:rPr>
                            <w:rStyle w:val="Hyperlink"/>
                          </w:rPr>
                          <w:t>https://mathsnoproblem.com/en/mastery/concrete-pictorial-abstract/</w:t>
                        </w:r>
                      </w:hyperlink>
                    </w:p>
                    <w:p w:rsidR="00A70B40" w:rsidRPr="00A70B40" w:rsidRDefault="00A70B40" w:rsidP="00A70B40">
                      <w:pPr>
                        <w:shd w:val="clear" w:color="auto" w:fill="FFFFFF"/>
                        <w:spacing w:after="106" w:line="240" w:lineRule="auto"/>
                        <w:outlineLvl w:val="0"/>
                        <w:rPr>
                          <w:rFonts w:ascii="Candara" w:eastAsia="Times New Roman" w:hAnsi="Candara" w:cs="Arial"/>
                          <w:color w:val="303030"/>
                          <w:kern w:val="36"/>
                          <w:sz w:val="24"/>
                          <w:szCs w:val="24"/>
                          <w:lang w:eastAsia="en-GB"/>
                        </w:rPr>
                      </w:pPr>
                      <w:r w:rsidRPr="00A70B40">
                        <w:rPr>
                          <w:rFonts w:ascii="Candara" w:eastAsia="Times New Roman" w:hAnsi="Candara" w:cs="Arial"/>
                          <w:color w:val="303030"/>
                          <w:sz w:val="24"/>
                          <w:szCs w:val="24"/>
                          <w:lang w:eastAsia="en-GB"/>
                        </w:rPr>
                        <w:t>Concrete, Pictorial, Abstract (CPA) is a highly effective approach to teaching that develops a deep and sustainable understanding of maths in pupils. Often referred to as the concrete, representational, abstract framework, CPA was developed by American psychologist Jerome Bruner. It is an essential technique within the Singapore method of teaching maths for mastery.</w:t>
                      </w:r>
                      <w:r w:rsidR="008E5305" w:rsidRPr="008E5305">
                        <w:rPr>
                          <w:rFonts w:ascii="Arial" w:hAnsi="Arial" w:cs="Arial"/>
                          <w:color w:val="303030"/>
                          <w:shd w:val="clear" w:color="auto" w:fill="FFFFFF"/>
                        </w:rPr>
                        <w:t xml:space="preserve"> </w:t>
                      </w:r>
                      <w:r w:rsidR="008E5305" w:rsidRPr="008E5305">
                        <w:rPr>
                          <w:rFonts w:ascii="Candara" w:hAnsi="Candara" w:cs="Arial"/>
                          <w:color w:val="303030"/>
                          <w:sz w:val="24"/>
                          <w:shd w:val="clear" w:color="auto" w:fill="FFFFFF"/>
                        </w:rPr>
                        <w:t>Although we’ve presented CPA as three distinct stages, a skilled teacher will go back and forth between each stage to reinforce concepts.</w:t>
                      </w:r>
                    </w:p>
                    <w:p w:rsidR="00A70B40" w:rsidRPr="00A70B40" w:rsidRDefault="00A70B40" w:rsidP="00A70B40">
                      <w:pPr>
                        <w:pStyle w:val="Heading2"/>
                        <w:shd w:val="clear" w:color="auto" w:fill="FFFFFF"/>
                        <w:spacing w:before="450" w:beforeAutospacing="0" w:after="300" w:afterAutospacing="0"/>
                        <w:rPr>
                          <w:rFonts w:ascii="Candara" w:hAnsi="Candara" w:cs="Arial"/>
                          <w:b w:val="0"/>
                          <w:bCs w:val="0"/>
                          <w:color w:val="303030"/>
                          <w:sz w:val="24"/>
                          <w:szCs w:val="24"/>
                        </w:rPr>
                      </w:pPr>
                      <w:r w:rsidRPr="00A70B40">
                        <w:rPr>
                          <w:rFonts w:ascii="Candara" w:hAnsi="Candara" w:cs="Arial"/>
                          <w:bCs w:val="0"/>
                          <w:color w:val="303030"/>
                          <w:sz w:val="24"/>
                          <w:szCs w:val="24"/>
                          <w:u w:val="single"/>
                        </w:rPr>
                        <w:t xml:space="preserve">Background to the CPA </w:t>
                      </w:r>
                      <w:proofErr w:type="gramStart"/>
                      <w:r w:rsidRPr="00A70B40">
                        <w:rPr>
                          <w:rFonts w:ascii="Candara" w:hAnsi="Candara" w:cs="Arial"/>
                          <w:bCs w:val="0"/>
                          <w:color w:val="303030"/>
                          <w:sz w:val="24"/>
                          <w:szCs w:val="24"/>
                          <w:u w:val="single"/>
                        </w:rPr>
                        <w:t>framework</w:t>
                      </w:r>
                      <w:r>
                        <w:rPr>
                          <w:rFonts w:ascii="Candara" w:hAnsi="Candara" w:cs="Arial"/>
                          <w:bCs w:val="0"/>
                          <w:color w:val="303030"/>
                          <w:sz w:val="24"/>
                          <w:szCs w:val="24"/>
                          <w:u w:val="single"/>
                        </w:rPr>
                        <w:t xml:space="preserve"> :</w:t>
                      </w:r>
                      <w:proofErr w:type="gramEnd"/>
                      <w:r>
                        <w:rPr>
                          <w:rFonts w:ascii="Candara" w:hAnsi="Candara" w:cs="Arial"/>
                          <w:bCs w:val="0"/>
                          <w:color w:val="303030"/>
                          <w:sz w:val="24"/>
                          <w:szCs w:val="24"/>
                          <w:u w:val="single"/>
                        </w:rPr>
                        <w:t xml:space="preserve"> </w:t>
                      </w:r>
                      <w:r w:rsidRPr="00A70B40">
                        <w:rPr>
                          <w:rFonts w:ascii="Candara" w:hAnsi="Candara" w:cs="Arial"/>
                          <w:b w:val="0"/>
                          <w:color w:val="303030"/>
                          <w:sz w:val="24"/>
                          <w:szCs w:val="24"/>
                        </w:rPr>
                        <w:t>Children (and adults!) can find maths difficult because it is abstract. The CPA approach builds on children’s existing knowledge by introducing abstract concepts in a concrete and tangible way. It involves moving from concrete materials, to pictorial representations, to abstract symbols and problems. The CPA framework is so established in Singapore maths teaching that the Ministry of Education will not approve any teaching materials that do not use the approach.</w:t>
                      </w:r>
                    </w:p>
                    <w:p w:rsidR="00A70B40" w:rsidRDefault="00A70B40" w:rsidP="00A70B40">
                      <w:pPr>
                        <w:pStyle w:val="Heading3"/>
                        <w:shd w:val="clear" w:color="auto" w:fill="FFFFFF"/>
                        <w:spacing w:before="300" w:after="300"/>
                        <w:rPr>
                          <w:rFonts w:ascii="Arial" w:hAnsi="Arial" w:cs="Arial"/>
                          <w:color w:val="303030"/>
                        </w:rPr>
                      </w:pPr>
                      <w:r w:rsidRPr="00A70B40">
                        <w:rPr>
                          <w:rFonts w:ascii="Candara" w:hAnsi="Candara" w:cs="Arial"/>
                          <w:b/>
                          <w:color w:val="303030"/>
                          <w:u w:val="single"/>
                        </w:rPr>
                        <w:t>Concrete step of CPA</w:t>
                      </w:r>
                      <w:r>
                        <w:rPr>
                          <w:rFonts w:ascii="Candara" w:hAnsi="Candara" w:cs="Arial"/>
                          <w:b/>
                          <w:color w:val="303030"/>
                          <w:u w:val="single"/>
                        </w:rPr>
                        <w:t xml:space="preserve">: </w:t>
                      </w:r>
                      <w:r w:rsidRPr="00A70B40">
                        <w:rPr>
                          <w:rFonts w:ascii="Candara" w:hAnsi="Candara" w:cs="Arial"/>
                          <w:color w:val="303030"/>
                        </w:rPr>
                        <w:t>Concrete is the “doing” stage. During this stage, students use concrete objects to model problems. Unlike traditional maths teaching methods where teachers demonstrate how to solve a problem, the CPA approach brings concepts to life by allowing children to experience and handle physical (concrete) objects. With the CPA framework, every abstract concept is first introduced using physical, interactive concrete materials.</w:t>
                      </w:r>
                    </w:p>
                    <w:p w:rsidR="00A70B40" w:rsidRPr="00A70B40" w:rsidRDefault="00A70B40" w:rsidP="00A70B40">
                      <w:pPr>
                        <w:pStyle w:val="Heading3"/>
                        <w:shd w:val="clear" w:color="auto" w:fill="FFFFFF"/>
                        <w:spacing w:before="300" w:after="300"/>
                        <w:rPr>
                          <w:rFonts w:ascii="Candara" w:hAnsi="Candara" w:cs="Arial"/>
                          <w:color w:val="303030"/>
                        </w:rPr>
                      </w:pPr>
                      <w:r w:rsidRPr="00A70B40">
                        <w:rPr>
                          <w:rFonts w:ascii="Candara" w:hAnsi="Candara" w:cs="Arial"/>
                          <w:b/>
                          <w:color w:val="303030"/>
                          <w:u w:val="single"/>
                        </w:rPr>
                        <w:t>Pictorial step of CPA</w:t>
                      </w:r>
                      <w:r w:rsidRPr="00A70B40">
                        <w:rPr>
                          <w:rFonts w:ascii="Candara" w:hAnsi="Candara" w:cs="Arial"/>
                          <w:b/>
                          <w:color w:val="303030"/>
                          <w:u w:val="single"/>
                        </w:rPr>
                        <w:t>:</w:t>
                      </w:r>
                      <w:r>
                        <w:rPr>
                          <w:rFonts w:ascii="Candara" w:hAnsi="Candara" w:cs="Arial"/>
                          <w:color w:val="303030"/>
                        </w:rPr>
                        <w:t xml:space="preserve"> </w:t>
                      </w:r>
                      <w:r w:rsidRPr="00A70B40">
                        <w:rPr>
                          <w:rFonts w:ascii="Candara" w:hAnsi="Candara" w:cs="Arial"/>
                          <w:color w:val="303030"/>
                        </w:rPr>
                        <w:t>Pictorial is the “seeing” stage. Here, visual representations of concrete objects are used to model problems. This stage encourages children to make a mental connection between the physical object they just handled and the abstract pictures, diagrams or models that represent the objects from the problem.</w:t>
                      </w:r>
                      <w:r>
                        <w:rPr>
                          <w:rFonts w:ascii="Candara" w:hAnsi="Candara" w:cs="Arial"/>
                          <w:color w:val="303030"/>
                        </w:rPr>
                        <w:t xml:space="preserve"> </w:t>
                      </w:r>
                      <w:r w:rsidRPr="00A70B40">
                        <w:rPr>
                          <w:rFonts w:ascii="Candara" w:hAnsi="Candara" w:cs="Arial"/>
                          <w:color w:val="303030"/>
                        </w:rPr>
                        <w:t>Building or drawing a model makes it easier for children to grasp difficult abstract concepts (for example, fractions). Simply put, it helps students visualise abstract problems and make them more accessible.</w:t>
                      </w:r>
                    </w:p>
                    <w:p w:rsidR="00A70B40" w:rsidRDefault="00A70B40" w:rsidP="00A70B40">
                      <w:pPr>
                        <w:pStyle w:val="Heading3"/>
                        <w:shd w:val="clear" w:color="auto" w:fill="FFFFFF"/>
                        <w:spacing w:before="300" w:after="300"/>
                        <w:rPr>
                          <w:rFonts w:ascii="Arial" w:hAnsi="Arial" w:cs="Arial"/>
                          <w:color w:val="303030"/>
                        </w:rPr>
                      </w:pPr>
                      <w:r w:rsidRPr="00A70B40">
                        <w:rPr>
                          <w:rFonts w:ascii="Candara" w:hAnsi="Candara" w:cs="Arial"/>
                          <w:b/>
                          <w:color w:val="303030"/>
                          <w:u w:val="single"/>
                        </w:rPr>
                        <w:t>Abstract step of CPA</w:t>
                      </w:r>
                      <w:r w:rsidRPr="00A70B40">
                        <w:rPr>
                          <w:rFonts w:ascii="Candara" w:hAnsi="Candara" w:cs="Arial"/>
                          <w:b/>
                          <w:color w:val="303030"/>
                          <w:u w:val="single"/>
                        </w:rPr>
                        <w:t>:</w:t>
                      </w:r>
                      <w:r>
                        <w:rPr>
                          <w:rFonts w:ascii="Candara" w:hAnsi="Candara" w:cs="Arial"/>
                          <w:color w:val="303030"/>
                        </w:rPr>
                        <w:t xml:space="preserve"> </w:t>
                      </w:r>
                      <w:r w:rsidRPr="00A70B40">
                        <w:rPr>
                          <w:rFonts w:ascii="Candara" w:hAnsi="Candara" w:cs="Arial"/>
                          <w:color w:val="303030"/>
                        </w:rPr>
                        <w:t>Abstract is the “symbolic” stage, where children use abstract symbols to model problems. Students will not progress to this stage until they have demonstrated that they have a solid understanding of the concrete and pictorial stages of the problem. The abstract stage involves the teacher introducing</w:t>
                      </w:r>
                      <w:r>
                        <w:rPr>
                          <w:rFonts w:ascii="Arial" w:hAnsi="Arial" w:cs="Arial"/>
                          <w:color w:val="303030"/>
                        </w:rPr>
                        <w:t xml:space="preserve"> </w:t>
                      </w:r>
                      <w:r w:rsidRPr="00A70B40">
                        <w:rPr>
                          <w:rFonts w:ascii="Candara" w:hAnsi="Candara" w:cs="Arial"/>
                          <w:color w:val="303030"/>
                        </w:rPr>
                        <w:t>abstract concepts (for example, mathematical symbols). Children are introduced to the concept at a symbolic level, using only numbers, notation, and mathematical symbols (for example, +, –, x, /) to indicate addition, multiplication or division.</w:t>
                      </w:r>
                    </w:p>
                    <w:p w:rsidR="002E6C83" w:rsidRDefault="002E6C83"/>
                  </w:txbxContent>
                </v:textbox>
                <w10:wrap type="square" anchorx="page"/>
              </v:shape>
            </w:pict>
          </mc:Fallback>
        </mc:AlternateContent>
      </w:r>
    </w:p>
    <w:p w:rsidR="003642E4" w:rsidRPr="008E5305" w:rsidRDefault="00FC3F42" w:rsidP="00FC3F42">
      <w:pPr>
        <w:pStyle w:val="ListParagraph"/>
        <w:numPr>
          <w:ilvl w:val="0"/>
          <w:numId w:val="1"/>
        </w:numPr>
        <w:rPr>
          <w:rFonts w:ascii="Candara" w:hAnsi="Candara"/>
          <w:sz w:val="24"/>
        </w:rPr>
      </w:pPr>
      <w:r w:rsidRPr="008E5305">
        <w:rPr>
          <w:rFonts w:ascii="Candara" w:hAnsi="Candara"/>
          <w:sz w:val="24"/>
        </w:rPr>
        <w:t>Teacher</w:t>
      </w:r>
      <w:r w:rsidR="00F04CC7">
        <w:rPr>
          <w:rFonts w:ascii="Candara" w:hAnsi="Candara"/>
          <w:sz w:val="24"/>
        </w:rPr>
        <w:t>s</w:t>
      </w:r>
      <w:bookmarkStart w:id="0" w:name="_GoBack"/>
      <w:bookmarkEnd w:id="0"/>
      <w:r w:rsidRPr="008E5305">
        <w:rPr>
          <w:rFonts w:ascii="Candara" w:hAnsi="Candara"/>
          <w:sz w:val="24"/>
        </w:rPr>
        <w:t xml:space="preserve"> should ensure that they use a range of manipulatives and representations throughout teaching of concepts, choosing the most appropriate for the concept. Manipulatives and representations may include </w:t>
      </w:r>
      <w:proofErr w:type="spellStart"/>
      <w:r w:rsidRPr="008E5305">
        <w:rPr>
          <w:rFonts w:ascii="Candara" w:hAnsi="Candara"/>
          <w:sz w:val="24"/>
        </w:rPr>
        <w:t>Rekenreks</w:t>
      </w:r>
      <w:proofErr w:type="spellEnd"/>
      <w:r w:rsidRPr="008E5305">
        <w:rPr>
          <w:rFonts w:ascii="Candara" w:hAnsi="Candara"/>
          <w:sz w:val="24"/>
        </w:rPr>
        <w:t xml:space="preserve">, </w:t>
      </w:r>
      <w:proofErr w:type="spellStart"/>
      <w:r w:rsidRPr="008E5305">
        <w:rPr>
          <w:rFonts w:ascii="Candara" w:hAnsi="Candara"/>
          <w:sz w:val="24"/>
        </w:rPr>
        <w:t>diennes</w:t>
      </w:r>
      <w:proofErr w:type="spellEnd"/>
      <w:r w:rsidRPr="008E5305">
        <w:rPr>
          <w:rFonts w:ascii="Candara" w:hAnsi="Candara"/>
          <w:sz w:val="24"/>
        </w:rPr>
        <w:t>, place value counters, Cuisenaire, number lines, multi-link, counters, bar models, part-whole models.</w:t>
      </w:r>
    </w:p>
    <w:p w:rsidR="00FC3F42" w:rsidRPr="008E5305" w:rsidRDefault="00FC3F42" w:rsidP="00E6370C">
      <w:pPr>
        <w:pStyle w:val="ListParagraph"/>
        <w:numPr>
          <w:ilvl w:val="0"/>
          <w:numId w:val="1"/>
        </w:numPr>
        <w:rPr>
          <w:rFonts w:ascii="Candara" w:hAnsi="Candara"/>
          <w:sz w:val="24"/>
        </w:rPr>
      </w:pPr>
      <w:r w:rsidRPr="008E5305">
        <w:rPr>
          <w:rFonts w:ascii="Candara" w:hAnsi="Candara"/>
          <w:sz w:val="24"/>
        </w:rPr>
        <w:t xml:space="preserve">NCETM PD materials include a wide range of representations shown on PPT slides with accompanying teacher notes </w:t>
      </w:r>
      <w:hyperlink r:id="rId8" w:history="1">
        <w:r w:rsidRPr="008E5305">
          <w:rPr>
            <w:rStyle w:val="Hyperlink"/>
            <w:rFonts w:ascii="Candara" w:hAnsi="Candara"/>
            <w:sz w:val="24"/>
          </w:rPr>
          <w:t>https://www.ncetm.org.uk/resources/50639</w:t>
        </w:r>
      </w:hyperlink>
    </w:p>
    <w:p w:rsidR="00FC3F42" w:rsidRPr="008E5305" w:rsidRDefault="00C01254" w:rsidP="00E6370C">
      <w:pPr>
        <w:pStyle w:val="ListParagraph"/>
        <w:numPr>
          <w:ilvl w:val="0"/>
          <w:numId w:val="1"/>
        </w:numPr>
        <w:rPr>
          <w:rFonts w:ascii="Candara" w:hAnsi="Candara"/>
          <w:sz w:val="24"/>
        </w:rPr>
      </w:pPr>
      <w:r w:rsidRPr="008E5305">
        <w:rPr>
          <w:rFonts w:ascii="Candara" w:hAnsi="Candara"/>
          <w:sz w:val="24"/>
        </w:rPr>
        <w:t xml:space="preserve">Mathsbot.com </w:t>
      </w:r>
      <w:hyperlink r:id="rId9" w:history="1">
        <w:r w:rsidRPr="008E5305">
          <w:rPr>
            <w:rStyle w:val="Hyperlink"/>
            <w:rFonts w:ascii="Candara" w:hAnsi="Candara"/>
            <w:sz w:val="24"/>
          </w:rPr>
          <w:t>https://mathsbot.com/</w:t>
        </w:r>
      </w:hyperlink>
      <w:r w:rsidRPr="008E5305">
        <w:rPr>
          <w:rFonts w:ascii="Candara" w:hAnsi="Candara"/>
          <w:sz w:val="24"/>
        </w:rPr>
        <w:t xml:space="preserve"> includes a wide range of interactive resources. </w:t>
      </w:r>
    </w:p>
    <w:p w:rsidR="003642E4" w:rsidRPr="008E5305" w:rsidRDefault="00C01254" w:rsidP="009635F1">
      <w:pPr>
        <w:pStyle w:val="ListParagraph"/>
        <w:numPr>
          <w:ilvl w:val="0"/>
          <w:numId w:val="1"/>
        </w:numPr>
        <w:rPr>
          <w:rFonts w:ascii="Candara" w:hAnsi="Candara"/>
          <w:sz w:val="24"/>
        </w:rPr>
      </w:pPr>
      <w:r w:rsidRPr="008E5305">
        <w:rPr>
          <w:rFonts w:ascii="Candara" w:hAnsi="Candara"/>
          <w:sz w:val="24"/>
        </w:rPr>
        <w:t xml:space="preserve">Further reading around manipulatives and teaching using CPA approach can be found in Visible Maths (P Matlock 2019) and Teaching for Mastery (M McCourt 2019) </w:t>
      </w:r>
    </w:p>
    <w:p w:rsidR="00A70B40" w:rsidRDefault="00FC3F42">
      <w:r w:rsidRPr="002E6C83">
        <w:rPr>
          <w:rFonts w:eastAsiaTheme="minorEastAsia"/>
          <w:noProof/>
          <w:color w:val="5B9BD5" w:themeColor="accent1"/>
          <w:lang w:eastAsia="en-GB"/>
        </w:rPr>
        <w:lastRenderedPageBreak/>
        <mc:AlternateContent>
          <mc:Choice Requires="wps">
            <w:drawing>
              <wp:anchor distT="45720" distB="45720" distL="114300" distR="114300" simplePos="0" relativeHeight="251664384" behindDoc="0" locked="0" layoutInCell="1" allowOverlap="1" wp14:anchorId="05880342" wp14:editId="4DF1BEDC">
                <wp:simplePos x="0" y="0"/>
                <wp:positionH relativeFrom="page">
                  <wp:posOffset>188595</wp:posOffset>
                </wp:positionH>
                <wp:positionV relativeFrom="paragraph">
                  <wp:posOffset>648335</wp:posOffset>
                </wp:positionV>
                <wp:extent cx="7065645" cy="9269730"/>
                <wp:effectExtent l="0" t="0" r="20955"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5645" cy="9269730"/>
                        </a:xfrm>
                        <a:prstGeom prst="rect">
                          <a:avLst/>
                        </a:prstGeom>
                        <a:solidFill>
                          <a:srgbClr val="FFFFFF"/>
                        </a:solidFill>
                        <a:ln w="9525">
                          <a:solidFill>
                            <a:schemeClr val="bg1"/>
                          </a:solidFill>
                          <a:miter lim="800000"/>
                          <a:headEnd/>
                          <a:tailEnd/>
                        </a:ln>
                      </wps:spPr>
                      <wps:txbx>
                        <w:txbxContent>
                          <w:p w:rsidR="003642E4" w:rsidRDefault="003642E4" w:rsidP="003642E4">
                            <w:r>
                              <w:rPr>
                                <w:noProof/>
                                <w:lang w:eastAsia="en-GB"/>
                              </w:rPr>
                              <w:drawing>
                                <wp:inline distT="0" distB="0" distL="0" distR="0" wp14:anchorId="4B9378E1" wp14:editId="73913EB4">
                                  <wp:extent cx="5827594" cy="3974995"/>
                                  <wp:effectExtent l="19050" t="19050" r="20955" b="26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54001" cy="3993007"/>
                                          </a:xfrm>
                                          <a:prstGeom prst="rect">
                                            <a:avLst/>
                                          </a:prstGeom>
                                          <a:ln>
                                            <a:solidFill>
                                              <a:schemeClr val="bg1"/>
                                            </a:solidFill>
                                          </a:ln>
                                        </pic:spPr>
                                      </pic:pic>
                                    </a:graphicData>
                                  </a:graphic>
                                </wp:inline>
                              </w:drawing>
                            </w:r>
                          </w:p>
                          <w:p w:rsidR="009C6249" w:rsidRDefault="009C6249" w:rsidP="003642E4">
                            <w:r>
                              <w:t>……….</w:t>
                            </w:r>
                          </w:p>
                          <w:p w:rsidR="003642E4" w:rsidRDefault="008E5305" w:rsidP="003642E4">
                            <w:r>
                              <w:rPr>
                                <w:noProof/>
                                <w:lang w:eastAsia="en-GB"/>
                              </w:rPr>
                              <w:drawing>
                                <wp:inline distT="0" distB="0" distL="0" distR="0" wp14:anchorId="7C889D94" wp14:editId="36064EBD">
                                  <wp:extent cx="5730981" cy="3468414"/>
                                  <wp:effectExtent l="19050" t="19050" r="22225" b="177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79884" cy="3498010"/>
                                          </a:xfrm>
                                          <a:prstGeom prst="rect">
                                            <a:avLst/>
                                          </a:prstGeom>
                                          <a:ln>
                                            <a:solidFill>
                                              <a:schemeClr val="bg1"/>
                                            </a:solidFill>
                                          </a:ln>
                                        </pic:spPr>
                                      </pic:pic>
                                    </a:graphicData>
                                  </a:graphic>
                                </wp:inline>
                              </w:drawing>
                            </w:r>
                          </w:p>
                          <w:p w:rsidR="003642E4" w:rsidRPr="00FC3F42" w:rsidRDefault="00FC3F42">
                            <w:pPr>
                              <w:rPr>
                                <w:rFonts w:ascii="Candara" w:hAnsi="Candara"/>
                                <w:sz w:val="24"/>
                              </w:rPr>
                            </w:pPr>
                            <w:r w:rsidRPr="00FC3F42">
                              <w:rPr>
                                <w:rFonts w:ascii="Candara" w:hAnsi="Candara"/>
                                <w:noProof/>
                                <w:sz w:val="24"/>
                                <w:lang w:eastAsia="en-GB"/>
                              </w:rPr>
                              <w:t>In his recent book ‘Teaching for Mastery’, Mark McCourt i</w:t>
                            </w:r>
                            <w:r w:rsidR="008E5305">
                              <w:rPr>
                                <w:rFonts w:ascii="Candara" w:hAnsi="Candara"/>
                                <w:noProof/>
                                <w:sz w:val="24"/>
                                <w:lang w:eastAsia="en-GB"/>
                              </w:rPr>
                              <w:t xml:space="preserve">ncludes an adapted visual of Haylock and Cockburn’s </w:t>
                            </w:r>
                            <w:r w:rsidRPr="00FC3F42">
                              <w:rPr>
                                <w:rFonts w:ascii="Candara" w:hAnsi="Candara"/>
                                <w:noProof/>
                                <w:sz w:val="24"/>
                                <w:lang w:eastAsia="en-GB"/>
                              </w:rPr>
                              <w:t xml:space="preserve"> ‘</w:t>
                            </w:r>
                            <w:r w:rsidRPr="008E5305">
                              <w:rPr>
                                <w:rFonts w:ascii="Candara" w:hAnsi="Candara"/>
                                <w:i/>
                                <w:noProof/>
                                <w:sz w:val="24"/>
                                <w:lang w:eastAsia="en-GB"/>
                              </w:rPr>
                              <w:t>connective model’</w:t>
                            </w:r>
                            <w:r w:rsidRPr="00FC3F42">
                              <w:rPr>
                                <w:rFonts w:ascii="Candara" w:hAnsi="Candara"/>
                                <w:noProof/>
                                <w:sz w:val="24"/>
                                <w:lang w:eastAsia="en-GB"/>
                              </w:rPr>
                              <w:t xml:space="preserve"> writing tha</w:t>
                            </w:r>
                            <w:r w:rsidR="00C01254">
                              <w:rPr>
                                <w:rFonts w:ascii="Candara" w:hAnsi="Candara"/>
                                <w:noProof/>
                                <w:sz w:val="24"/>
                                <w:lang w:eastAsia="en-GB"/>
                              </w:rPr>
                              <w:t>t</w:t>
                            </w:r>
                            <w:r w:rsidRPr="00FC3F42">
                              <w:rPr>
                                <w:rFonts w:ascii="Candara" w:hAnsi="Candara"/>
                                <w:noProof/>
                                <w:sz w:val="24"/>
                                <w:lang w:eastAsia="en-GB"/>
                              </w:rPr>
                              <w:t xml:space="preserve">, </w:t>
                            </w:r>
                            <w:r w:rsidRPr="00C01254">
                              <w:rPr>
                                <w:rFonts w:ascii="Candara" w:hAnsi="Candara"/>
                                <w:i/>
                                <w:noProof/>
                                <w:sz w:val="24"/>
                                <w:lang w:eastAsia="en-GB"/>
                              </w:rPr>
                              <w:t>‘The Teacher will use a range of models, metaphors and examples in order to allow all pupils to see how the novel idea is connected to what they already know and how the various representations connect to each other.’</w:t>
                            </w:r>
                            <w:r w:rsidRPr="00FC3F42">
                              <w:rPr>
                                <w:rFonts w:ascii="Candara" w:hAnsi="Candara"/>
                                <w:noProof/>
                                <w:sz w:val="24"/>
                                <w:lang w:eastAsia="en-GB"/>
                              </w:rPr>
                              <w:t xml:space="preserve"> (M McCourt, Teaching for Mastery, p122)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80342" id="_x0000_s1031" type="#_x0000_t202" style="position:absolute;margin-left:14.85pt;margin-top:51.05pt;width:556.35pt;height:729.9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" strokecolor="white [3212]">
                <v:textbox>
                  <w:txbxContent>
                    <w:p w:rsidR="003642E4" w:rsidRDefault="003642E4" w:rsidP="003642E4">
                      <w:r>
                        <w:rPr>
                          <w:noProof/>
                          <w:lang w:eastAsia="en-GB"/>
                        </w:rPr>
                        <w:drawing>
                          <wp:inline distT="0" distB="0" distL="0" distR="0" wp14:anchorId="4B9378E1" wp14:editId="73913EB4">
                            <wp:extent cx="5827594" cy="3974995"/>
                            <wp:effectExtent l="19050" t="19050" r="20955" b="26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54001" cy="3993007"/>
                                    </a:xfrm>
                                    <a:prstGeom prst="rect">
                                      <a:avLst/>
                                    </a:prstGeom>
                                    <a:ln>
                                      <a:solidFill>
                                        <a:schemeClr val="bg1"/>
                                      </a:solidFill>
                                    </a:ln>
                                  </pic:spPr>
                                </pic:pic>
                              </a:graphicData>
                            </a:graphic>
                          </wp:inline>
                        </w:drawing>
                      </w:r>
                    </w:p>
                    <w:p w:rsidR="009C6249" w:rsidRDefault="009C6249" w:rsidP="003642E4">
                      <w:r>
                        <w:t>……….</w:t>
                      </w:r>
                    </w:p>
                    <w:p w:rsidR="003642E4" w:rsidRDefault="008E5305" w:rsidP="003642E4">
                      <w:r>
                        <w:rPr>
                          <w:noProof/>
                          <w:lang w:eastAsia="en-GB"/>
                        </w:rPr>
                        <w:drawing>
                          <wp:inline distT="0" distB="0" distL="0" distR="0" wp14:anchorId="7C889D94" wp14:editId="36064EBD">
                            <wp:extent cx="5730981" cy="3468414"/>
                            <wp:effectExtent l="19050" t="19050" r="22225" b="177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79884" cy="3498010"/>
                                    </a:xfrm>
                                    <a:prstGeom prst="rect">
                                      <a:avLst/>
                                    </a:prstGeom>
                                    <a:ln>
                                      <a:solidFill>
                                        <a:schemeClr val="bg1"/>
                                      </a:solidFill>
                                    </a:ln>
                                  </pic:spPr>
                                </pic:pic>
                              </a:graphicData>
                            </a:graphic>
                          </wp:inline>
                        </w:drawing>
                      </w:r>
                    </w:p>
                    <w:p w:rsidR="003642E4" w:rsidRPr="00FC3F42" w:rsidRDefault="00FC3F42">
                      <w:pPr>
                        <w:rPr>
                          <w:rFonts w:ascii="Candara" w:hAnsi="Candara"/>
                          <w:sz w:val="24"/>
                        </w:rPr>
                      </w:pPr>
                      <w:r w:rsidRPr="00FC3F42">
                        <w:rPr>
                          <w:rFonts w:ascii="Candara" w:hAnsi="Candara"/>
                          <w:noProof/>
                          <w:sz w:val="24"/>
                          <w:lang w:eastAsia="en-GB"/>
                        </w:rPr>
                        <w:t>In his recent book ‘Teaching for Mastery’, Mark McCourt i</w:t>
                      </w:r>
                      <w:r w:rsidR="008E5305">
                        <w:rPr>
                          <w:rFonts w:ascii="Candara" w:hAnsi="Candara"/>
                          <w:noProof/>
                          <w:sz w:val="24"/>
                          <w:lang w:eastAsia="en-GB"/>
                        </w:rPr>
                        <w:t xml:space="preserve">ncludes an adapted visual of Haylock and Cockburn’s </w:t>
                      </w:r>
                      <w:r w:rsidRPr="00FC3F42">
                        <w:rPr>
                          <w:rFonts w:ascii="Candara" w:hAnsi="Candara"/>
                          <w:noProof/>
                          <w:sz w:val="24"/>
                          <w:lang w:eastAsia="en-GB"/>
                        </w:rPr>
                        <w:t xml:space="preserve"> ‘</w:t>
                      </w:r>
                      <w:r w:rsidRPr="008E5305">
                        <w:rPr>
                          <w:rFonts w:ascii="Candara" w:hAnsi="Candara"/>
                          <w:i/>
                          <w:noProof/>
                          <w:sz w:val="24"/>
                          <w:lang w:eastAsia="en-GB"/>
                        </w:rPr>
                        <w:t>connective model’</w:t>
                      </w:r>
                      <w:r w:rsidRPr="00FC3F42">
                        <w:rPr>
                          <w:rFonts w:ascii="Candara" w:hAnsi="Candara"/>
                          <w:noProof/>
                          <w:sz w:val="24"/>
                          <w:lang w:eastAsia="en-GB"/>
                        </w:rPr>
                        <w:t xml:space="preserve"> writing tha</w:t>
                      </w:r>
                      <w:r w:rsidR="00C01254">
                        <w:rPr>
                          <w:rFonts w:ascii="Candara" w:hAnsi="Candara"/>
                          <w:noProof/>
                          <w:sz w:val="24"/>
                          <w:lang w:eastAsia="en-GB"/>
                        </w:rPr>
                        <w:t>t</w:t>
                      </w:r>
                      <w:r w:rsidRPr="00FC3F42">
                        <w:rPr>
                          <w:rFonts w:ascii="Candara" w:hAnsi="Candara"/>
                          <w:noProof/>
                          <w:sz w:val="24"/>
                          <w:lang w:eastAsia="en-GB"/>
                        </w:rPr>
                        <w:t xml:space="preserve">, </w:t>
                      </w:r>
                      <w:r w:rsidRPr="00C01254">
                        <w:rPr>
                          <w:rFonts w:ascii="Candara" w:hAnsi="Candara"/>
                          <w:i/>
                          <w:noProof/>
                          <w:sz w:val="24"/>
                          <w:lang w:eastAsia="en-GB"/>
                        </w:rPr>
                        <w:t>‘The Teacher will use a range of models, metaphors and examples in order to allow all pupils to see how the novel idea is connected to what they already know and how the various representations connect to each other.’</w:t>
                      </w:r>
                      <w:r w:rsidRPr="00FC3F42">
                        <w:rPr>
                          <w:rFonts w:ascii="Candara" w:hAnsi="Candara"/>
                          <w:noProof/>
                          <w:sz w:val="24"/>
                          <w:lang w:eastAsia="en-GB"/>
                        </w:rPr>
                        <w:t xml:space="preserve"> (M McCourt, Teaching for Mastery, p122)</w:t>
                      </w:r>
                    </w:p>
                  </w:txbxContent>
                </v:textbox>
                <w10:wrap type="square" anchorx="page"/>
              </v:shape>
            </w:pict>
          </mc:Fallback>
        </mc:AlternateContent>
      </w:r>
      <w:r w:rsidR="00C01254">
        <w:t>T</w:t>
      </w:r>
      <w:r w:rsidR="003642E4">
        <w:t xml:space="preserve">he following website </w:t>
      </w:r>
      <w:hyperlink r:id="rId12" w:history="1">
        <w:r w:rsidR="003642E4" w:rsidRPr="00C820EB">
          <w:rPr>
            <w:rStyle w:val="Hyperlink"/>
          </w:rPr>
          <w:t>https://www.babcockldp.co.uk/improving-schools-settings/mathematics/teaching-resources/connective-model-and-cpa-approach</w:t>
        </w:r>
      </w:hyperlink>
      <w:r w:rsidR="003642E4">
        <w:t xml:space="preserve"> discusses in detail the </w:t>
      </w:r>
      <w:r>
        <w:t>Connective Model (</w:t>
      </w:r>
      <w:proofErr w:type="spellStart"/>
      <w:r>
        <w:t>Haylock</w:t>
      </w:r>
      <w:proofErr w:type="spellEnd"/>
      <w:r>
        <w:t xml:space="preserve"> and Cockburn) and the CPA approach, as well as providing useful resources.</w:t>
      </w:r>
    </w:p>
    <w:sectPr w:rsidR="00A70B40" w:rsidSect="00432EE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D5580"/>
    <w:multiLevelType w:val="hybridMultilevel"/>
    <w:tmpl w:val="F8C8C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EE8"/>
    <w:rsid w:val="00061CF9"/>
    <w:rsid w:val="002E6C83"/>
    <w:rsid w:val="003642E4"/>
    <w:rsid w:val="00432EE8"/>
    <w:rsid w:val="008E5305"/>
    <w:rsid w:val="009C6249"/>
    <w:rsid w:val="00A70B40"/>
    <w:rsid w:val="00C01254"/>
    <w:rsid w:val="00F04CC7"/>
    <w:rsid w:val="00F75AC2"/>
    <w:rsid w:val="00FC3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B4B4"/>
  <w15:chartTrackingRefBased/>
  <w15:docId w15:val="{8E55BE64-1A4A-4BFD-ADC7-E8137FDA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EE8"/>
  </w:style>
  <w:style w:type="paragraph" w:styleId="Heading1">
    <w:name w:val="heading 1"/>
    <w:basedOn w:val="Normal"/>
    <w:link w:val="Heading1Char"/>
    <w:uiPriority w:val="9"/>
    <w:qFormat/>
    <w:rsid w:val="00A70B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70B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A70B4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2E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EE8"/>
    <w:rPr>
      <w:rFonts w:eastAsiaTheme="minorEastAsia"/>
      <w:lang w:val="en-US"/>
    </w:rPr>
  </w:style>
  <w:style w:type="character" w:customStyle="1" w:styleId="Heading1Char">
    <w:name w:val="Heading 1 Char"/>
    <w:basedOn w:val="DefaultParagraphFont"/>
    <w:link w:val="Heading1"/>
    <w:uiPriority w:val="9"/>
    <w:rsid w:val="00A70B4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70B4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70B4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A70B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0B40"/>
    <w:rPr>
      <w:color w:val="0000FF"/>
      <w:u w:val="single"/>
    </w:rPr>
  </w:style>
  <w:style w:type="paragraph" w:styleId="ListParagraph">
    <w:name w:val="List Paragraph"/>
    <w:basedOn w:val="Normal"/>
    <w:uiPriority w:val="34"/>
    <w:qFormat/>
    <w:rsid w:val="00FC3F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91531">
      <w:bodyDiv w:val="1"/>
      <w:marLeft w:val="0"/>
      <w:marRight w:val="0"/>
      <w:marTop w:val="0"/>
      <w:marBottom w:val="0"/>
      <w:divBdr>
        <w:top w:val="none" w:sz="0" w:space="0" w:color="auto"/>
        <w:left w:val="none" w:sz="0" w:space="0" w:color="auto"/>
        <w:bottom w:val="none" w:sz="0" w:space="0" w:color="auto"/>
        <w:right w:val="none" w:sz="0" w:space="0" w:color="auto"/>
      </w:divBdr>
    </w:div>
    <w:div w:id="1057045693">
      <w:bodyDiv w:val="1"/>
      <w:marLeft w:val="0"/>
      <w:marRight w:val="0"/>
      <w:marTop w:val="0"/>
      <w:marBottom w:val="0"/>
      <w:divBdr>
        <w:top w:val="none" w:sz="0" w:space="0" w:color="auto"/>
        <w:left w:val="none" w:sz="0" w:space="0" w:color="auto"/>
        <w:bottom w:val="none" w:sz="0" w:space="0" w:color="auto"/>
        <w:right w:val="none" w:sz="0" w:space="0" w:color="auto"/>
      </w:divBdr>
    </w:div>
    <w:div w:id="1286232135">
      <w:bodyDiv w:val="1"/>
      <w:marLeft w:val="0"/>
      <w:marRight w:val="0"/>
      <w:marTop w:val="0"/>
      <w:marBottom w:val="0"/>
      <w:divBdr>
        <w:top w:val="none" w:sz="0" w:space="0" w:color="auto"/>
        <w:left w:val="none" w:sz="0" w:space="0" w:color="auto"/>
        <w:bottom w:val="none" w:sz="0" w:space="0" w:color="auto"/>
        <w:right w:val="none" w:sz="0" w:space="0" w:color="auto"/>
      </w:divBdr>
      <w:divsChild>
        <w:div w:id="1582134185">
          <w:marLeft w:val="0"/>
          <w:marRight w:val="0"/>
          <w:marTop w:val="0"/>
          <w:marBottom w:val="0"/>
          <w:divBdr>
            <w:top w:val="none" w:sz="0" w:space="0" w:color="auto"/>
            <w:left w:val="none" w:sz="0" w:space="0" w:color="auto"/>
            <w:bottom w:val="none" w:sz="0" w:space="0" w:color="auto"/>
            <w:right w:val="none" w:sz="0" w:space="0" w:color="auto"/>
          </w:divBdr>
          <w:divsChild>
            <w:div w:id="1564095547">
              <w:marLeft w:val="0"/>
              <w:marRight w:val="0"/>
              <w:marTop w:val="0"/>
              <w:marBottom w:val="0"/>
              <w:divBdr>
                <w:top w:val="none" w:sz="0" w:space="0" w:color="auto"/>
                <w:left w:val="none" w:sz="0" w:space="0" w:color="auto"/>
                <w:bottom w:val="none" w:sz="0" w:space="0" w:color="auto"/>
                <w:right w:val="none" w:sz="0" w:space="0" w:color="auto"/>
              </w:divBdr>
              <w:divsChild>
                <w:div w:id="1871726803">
                  <w:marLeft w:val="-225"/>
                  <w:marRight w:val="-225"/>
                  <w:marTop w:val="0"/>
                  <w:marBottom w:val="0"/>
                  <w:divBdr>
                    <w:top w:val="none" w:sz="0" w:space="0" w:color="auto"/>
                    <w:left w:val="none" w:sz="0" w:space="0" w:color="auto"/>
                    <w:bottom w:val="none" w:sz="0" w:space="0" w:color="auto"/>
                    <w:right w:val="none" w:sz="0" w:space="0" w:color="auto"/>
                  </w:divBdr>
                  <w:divsChild>
                    <w:div w:id="83148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09925">
          <w:marLeft w:val="0"/>
          <w:marRight w:val="0"/>
          <w:marTop w:val="0"/>
          <w:marBottom w:val="0"/>
          <w:divBdr>
            <w:top w:val="none" w:sz="0" w:space="0" w:color="auto"/>
            <w:left w:val="none" w:sz="0" w:space="0" w:color="auto"/>
            <w:bottom w:val="none" w:sz="0" w:space="0" w:color="auto"/>
            <w:right w:val="none" w:sz="0" w:space="0" w:color="auto"/>
          </w:divBdr>
          <w:divsChild>
            <w:div w:id="1804538979">
              <w:marLeft w:val="0"/>
              <w:marRight w:val="0"/>
              <w:marTop w:val="0"/>
              <w:marBottom w:val="0"/>
              <w:divBdr>
                <w:top w:val="none" w:sz="0" w:space="0" w:color="auto"/>
                <w:left w:val="none" w:sz="0" w:space="0" w:color="auto"/>
                <w:bottom w:val="none" w:sz="0" w:space="0" w:color="auto"/>
                <w:right w:val="none" w:sz="0" w:space="0" w:color="auto"/>
              </w:divBdr>
              <w:divsChild>
                <w:div w:id="893614318">
                  <w:marLeft w:val="-225"/>
                  <w:marRight w:val="-225"/>
                  <w:marTop w:val="0"/>
                  <w:marBottom w:val="0"/>
                  <w:divBdr>
                    <w:top w:val="none" w:sz="0" w:space="0" w:color="auto"/>
                    <w:left w:val="none" w:sz="0" w:space="0" w:color="auto"/>
                    <w:bottom w:val="none" w:sz="0" w:space="0" w:color="auto"/>
                    <w:right w:val="none" w:sz="0" w:space="0" w:color="auto"/>
                  </w:divBdr>
                  <w:divsChild>
                    <w:div w:id="14229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resources/5063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thsnoproblem.com/en/mastery/concrete-pictorial-abstract/" TargetMode="External"/><Relationship Id="rId12" Type="http://schemas.openxmlformats.org/officeDocument/2006/relationships/hyperlink" Target="https://www.babcockldp.co.uk/improving-schools-settings/mathematics/teaching-resources/connective-model-and-cpa-approa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thsnoproblem.com/en/mastery/concrete-pictorial-abstract/" TargetMode="External"/><Relationship Id="rId11" Type="http://schemas.openxmlformats.org/officeDocument/2006/relationships/image" Target="media/image3.png"/><Relationship Id="rId5" Type="http://schemas.openxmlformats.org/officeDocument/2006/relationships/image" Target="media/image1.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mathsb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5</cp:revision>
  <dcterms:created xsi:type="dcterms:W3CDTF">2019-08-01T18:17:00Z</dcterms:created>
  <dcterms:modified xsi:type="dcterms:W3CDTF">2019-08-01T19:23:00Z</dcterms:modified>
</cp:coreProperties>
</file>